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A" w:rsidRDefault="00D669BA" w:rsidP="00D669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C56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-328295</wp:posOffset>
            </wp:positionV>
            <wp:extent cx="695325" cy="628650"/>
            <wp:effectExtent l="19050" t="0" r="9525" b="0"/>
            <wp:wrapTight wrapText="bothSides">
              <wp:wrapPolygon edited="0">
                <wp:start x="-592" y="0"/>
                <wp:lineTo x="-592" y="20945"/>
                <wp:lineTo x="21896" y="20945"/>
                <wp:lineTo x="21896" y="0"/>
                <wp:lineTo x="-592" y="0"/>
              </wp:wrapPolygon>
            </wp:wrapTight>
            <wp:docPr id="3" name="Imagem 1" descr="C:\Documents and Settings\Rodrigues\Ambiente de trabalho\Logotipo U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drigues\Ambiente de trabalho\Logotipo U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BBC" w:rsidRDefault="00096BBC" w:rsidP="00D669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669BA" w:rsidRPr="00DA4A37" w:rsidRDefault="00D669BA" w:rsidP="00D669B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A4A37">
        <w:rPr>
          <w:rFonts w:ascii="Arial" w:hAnsi="Arial" w:cs="Arial"/>
          <w:b/>
          <w:sz w:val="18"/>
          <w:szCs w:val="18"/>
        </w:rPr>
        <w:t>INSTITUTO SUPERIOR POLITÉCNICO LUSÍADA DE BENGUELA</w:t>
      </w:r>
    </w:p>
    <w:p w:rsidR="00D669BA" w:rsidRPr="00DA4A37" w:rsidRDefault="00D669BA" w:rsidP="00D669BA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DA4A37">
        <w:rPr>
          <w:rFonts w:ascii="Arial" w:hAnsi="Arial" w:cs="Arial"/>
          <w:b/>
          <w:sz w:val="18"/>
          <w:szCs w:val="18"/>
        </w:rPr>
        <w:t>Departamento de Ciências Jurídicas</w:t>
      </w:r>
    </w:p>
    <w:p w:rsidR="00096BBC" w:rsidRPr="00096BBC" w:rsidRDefault="00D669BA" w:rsidP="00096BBC">
      <w:pPr>
        <w:pStyle w:val="SemEspaamento"/>
        <w:jc w:val="center"/>
        <w:rPr>
          <w:rFonts w:ascii="Arial" w:hAnsi="Arial" w:cs="Arial"/>
          <w:b/>
          <w:sz w:val="18"/>
          <w:szCs w:val="18"/>
        </w:rPr>
      </w:pPr>
      <w:r w:rsidRPr="00DA4A37">
        <w:rPr>
          <w:rFonts w:ascii="Arial" w:hAnsi="Arial" w:cs="Arial"/>
          <w:b/>
          <w:sz w:val="18"/>
          <w:szCs w:val="18"/>
        </w:rPr>
        <w:t>Curso de Direito</w:t>
      </w:r>
    </w:p>
    <w:p w:rsidR="00096BBC" w:rsidRDefault="00096BBC" w:rsidP="0017015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6834" w:rsidRDefault="006C6834" w:rsidP="0017015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669BA" w:rsidRPr="006C6834" w:rsidRDefault="00170151" w:rsidP="0017015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6834">
        <w:rPr>
          <w:rFonts w:ascii="Arial" w:hAnsi="Arial" w:cs="Arial"/>
          <w:b/>
          <w:sz w:val="20"/>
          <w:szCs w:val="20"/>
          <w:u w:val="single"/>
        </w:rPr>
        <w:t>ANO LECTIVO 2016</w:t>
      </w:r>
    </w:p>
    <w:p w:rsidR="00170151" w:rsidRPr="006C6834" w:rsidRDefault="006C6834" w:rsidP="00170151">
      <w:pPr>
        <w:jc w:val="center"/>
        <w:rPr>
          <w:rFonts w:ascii="Arial" w:hAnsi="Arial" w:cs="Arial"/>
          <w:b/>
          <w:sz w:val="20"/>
          <w:szCs w:val="20"/>
        </w:rPr>
      </w:pPr>
      <w:r w:rsidRPr="006C6834">
        <w:rPr>
          <w:rFonts w:ascii="Arial" w:hAnsi="Arial" w:cs="Arial"/>
          <w:b/>
          <w:sz w:val="20"/>
          <w:szCs w:val="20"/>
        </w:rPr>
        <w:t>Disciplinas com Prova Oral Obrigatória em sede de Avaliação Final</w:t>
      </w:r>
    </w:p>
    <w:p w:rsidR="006C6834" w:rsidRPr="000E7757" w:rsidRDefault="006C6834" w:rsidP="00170151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6C6834" w:rsidRPr="006C6834" w:rsidRDefault="006C6834" w:rsidP="006C6834">
      <w:pPr>
        <w:pStyle w:val="Corpodetexto"/>
        <w:autoSpaceDE/>
        <w:autoSpaceDN/>
        <w:adjustRightInd/>
        <w:spacing w:before="12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uso da prerrogativa conferida pelo n.º 2 do Artigo 54º do Regulamento Académico do ISPLB a</w:t>
      </w:r>
      <w:r w:rsidR="00170151" w:rsidRPr="00D52EBA">
        <w:rPr>
          <w:rFonts w:ascii="Arial" w:hAnsi="Arial" w:cs="Arial"/>
          <w:sz w:val="18"/>
          <w:szCs w:val="18"/>
        </w:rPr>
        <w:t xml:space="preserve"> Coordenação do Curso de Direito propõe que</w:t>
      </w:r>
      <w:r>
        <w:rPr>
          <w:rFonts w:ascii="Arial" w:hAnsi="Arial" w:cs="Arial"/>
          <w:sz w:val="18"/>
          <w:szCs w:val="18"/>
        </w:rPr>
        <w:t>,</w:t>
      </w:r>
      <w:r w:rsidR="00170151" w:rsidRPr="00D52EBA">
        <w:rPr>
          <w:rFonts w:ascii="Arial" w:hAnsi="Arial" w:cs="Arial"/>
          <w:sz w:val="18"/>
          <w:szCs w:val="18"/>
        </w:rPr>
        <w:t xml:space="preserve"> no ano lectivo </w:t>
      </w:r>
      <w:r>
        <w:rPr>
          <w:rFonts w:ascii="Arial" w:hAnsi="Arial" w:cs="Arial"/>
          <w:sz w:val="18"/>
          <w:szCs w:val="18"/>
        </w:rPr>
        <w:t xml:space="preserve">de </w:t>
      </w:r>
      <w:r w:rsidR="00170151" w:rsidRPr="00D52EBA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>,</w:t>
      </w:r>
      <w:r w:rsidR="00170151" w:rsidRPr="00D52E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seja efectuada prova oral </w:t>
      </w:r>
      <w:r w:rsidR="00FD3053">
        <w:rPr>
          <w:rFonts w:ascii="Arial" w:hAnsi="Arial" w:cs="Arial"/>
          <w:sz w:val="18"/>
          <w:szCs w:val="18"/>
        </w:rPr>
        <w:t xml:space="preserve">obrigatória </w:t>
      </w:r>
      <w:r>
        <w:rPr>
          <w:rFonts w:ascii="Arial" w:hAnsi="Arial" w:cs="Arial"/>
          <w:sz w:val="18"/>
          <w:szCs w:val="18"/>
        </w:rPr>
        <w:t>aos Estudantes que tenham obtido no Exame escrito, no âmbito d</w:t>
      </w:r>
      <w:r w:rsidR="00170151" w:rsidRPr="00D52EBA">
        <w:rPr>
          <w:rFonts w:ascii="Arial" w:hAnsi="Arial" w:cs="Arial"/>
          <w:sz w:val="18"/>
          <w:szCs w:val="18"/>
        </w:rPr>
        <w:t>as disciplinas abaixo elencadas</w:t>
      </w:r>
      <w:r>
        <w:rPr>
          <w:rFonts w:ascii="Arial" w:hAnsi="Arial" w:cs="Arial"/>
          <w:sz w:val="18"/>
          <w:szCs w:val="18"/>
        </w:rPr>
        <w:t>,</w:t>
      </w:r>
      <w:r w:rsidRPr="006C6834">
        <w:rPr>
          <w:rFonts w:ascii="Arial" w:hAnsi="Arial" w:cs="Arial"/>
          <w:sz w:val="18"/>
          <w:szCs w:val="18"/>
        </w:rPr>
        <w:t xml:space="preserve"> uma classificação igual ou superior a 8</w:t>
      </w:r>
      <w:r>
        <w:rPr>
          <w:rFonts w:ascii="Arial" w:hAnsi="Arial" w:cs="Arial"/>
          <w:sz w:val="18"/>
          <w:szCs w:val="18"/>
        </w:rPr>
        <w:t xml:space="preserve"> </w:t>
      </w:r>
      <w:r w:rsidRPr="00A627EB">
        <w:rPr>
          <w:rFonts w:ascii="Arial" w:hAnsi="Arial" w:cs="Arial"/>
          <w:sz w:val="18"/>
          <w:szCs w:val="18"/>
        </w:rPr>
        <w:t xml:space="preserve">e inferior a 10 </w:t>
      </w:r>
      <w:r w:rsidR="00FD3053" w:rsidRPr="00A627EB">
        <w:rPr>
          <w:rFonts w:ascii="Arial" w:hAnsi="Arial" w:cs="Arial"/>
          <w:sz w:val="18"/>
          <w:szCs w:val="18"/>
        </w:rPr>
        <w:t>valores</w:t>
      </w:r>
      <w:r w:rsidR="00FD3053">
        <w:rPr>
          <w:rFonts w:ascii="Arial" w:hAnsi="Arial" w:cs="Arial"/>
          <w:sz w:val="18"/>
          <w:szCs w:val="18"/>
        </w:rPr>
        <w:t>:</w:t>
      </w:r>
    </w:p>
    <w:p w:rsidR="006C6834" w:rsidRPr="000E7757" w:rsidRDefault="006C6834" w:rsidP="00170151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6520" w:type="dxa"/>
        <w:jc w:val="center"/>
        <w:tblInd w:w="-318" w:type="dxa"/>
        <w:tblLook w:val="04A0"/>
      </w:tblPr>
      <w:tblGrid>
        <w:gridCol w:w="1843"/>
        <w:gridCol w:w="4677"/>
      </w:tblGrid>
      <w:tr w:rsidR="006C6834" w:rsidRPr="00D52EBA" w:rsidTr="00FD3053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6834" w:rsidRPr="00D52EBA" w:rsidRDefault="006C6834" w:rsidP="00976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Curricular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6834" w:rsidRPr="00D52EBA" w:rsidRDefault="006C6834" w:rsidP="009767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Disciplinas com Prova Oral obrigatória em sede de Avaliação Final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053">
              <w:rPr>
                <w:rFonts w:ascii="Arial" w:hAnsi="Arial" w:cs="Arial"/>
                <w:b/>
                <w:sz w:val="18"/>
                <w:szCs w:val="18"/>
              </w:rPr>
              <w:t>1º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1A7F70" w:rsidRDefault="00FD3053" w:rsidP="00FD3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Ciência Política e Direito Constitucional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D52EBA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1A7F70" w:rsidRDefault="00FD3053" w:rsidP="00FD3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Introdução ao Estudo do Direito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D52EBA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1A7F70" w:rsidRDefault="00FD3053" w:rsidP="00FD3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Inglês 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D52EBA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Default="00FD3053" w:rsidP="00FD3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Inglês II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Default="00FD3053" w:rsidP="00FD3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História e Filosofia do Direito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053" w:rsidRPr="006C2C8A" w:rsidRDefault="00FD3053" w:rsidP="00FD3053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Economia Política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Pr="00FD3053" w:rsidRDefault="00FD3053" w:rsidP="00FD305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053">
              <w:rPr>
                <w:rFonts w:ascii="Arial" w:hAnsi="Arial" w:cs="Arial"/>
                <w:b/>
                <w:sz w:val="18"/>
                <w:szCs w:val="18"/>
              </w:rPr>
              <w:t>2º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Língua Portuguesa II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Teoria Geral do Direito Civil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Administrativo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Internacional Público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Económico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P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053" w:rsidRPr="006C2C8A" w:rsidRDefault="00FD3053" w:rsidP="0004566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Direito Comparado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Pr="00FD3053" w:rsidRDefault="00FD3053" w:rsidP="00FD305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das Obrigações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Comercial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Processual Civil 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Penal 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Finanças Públicas e Direito Financeiro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053" w:rsidRPr="006C2C8A" w:rsidRDefault="00FD3053" w:rsidP="0004566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Direito Fiscal 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 Trabalho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Processual Penal 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Direitos Reais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Processual Civil II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da Família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das Sucessões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053" w:rsidRPr="009B4077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Penal II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3053" w:rsidRDefault="00FD3053" w:rsidP="00FD305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5º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053" w:rsidRPr="00366DDB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Internacional Privado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Prática Jurídica Multidisciplinar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Processual Civil III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dos Contratos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Pr="00715C88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077">
              <w:rPr>
                <w:rFonts w:ascii="Arial" w:hAnsi="Arial" w:cs="Arial"/>
                <w:sz w:val="16"/>
                <w:szCs w:val="16"/>
              </w:rPr>
              <w:t>Direito Processual Penal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Pr="009B4077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e Deontologia Profissional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Pr="009B4077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Registos e Notariado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</w:tcPr>
          <w:p w:rsidR="00FD3053" w:rsidRPr="009B4077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7EB">
              <w:rPr>
                <w:rFonts w:ascii="Arial" w:hAnsi="Arial" w:cs="Arial"/>
                <w:sz w:val="16"/>
                <w:szCs w:val="16"/>
              </w:rPr>
              <w:t>Medicina Legal</w:t>
            </w:r>
          </w:p>
        </w:tc>
      </w:tr>
      <w:tr w:rsidR="00FD3053" w:rsidRPr="00D52EBA" w:rsidTr="00FD3053">
        <w:trPr>
          <w:jc w:val="center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Default="00FD3053" w:rsidP="00D52EB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3" w:rsidRDefault="00FD3053" w:rsidP="00045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Contencioso Administrativo</w:t>
            </w:r>
          </w:p>
        </w:tc>
      </w:tr>
    </w:tbl>
    <w:p w:rsidR="000E7757" w:rsidRDefault="000E7757" w:rsidP="00AB27BB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170151" w:rsidRPr="00AB27BB" w:rsidRDefault="00AB27BB" w:rsidP="00AB27B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Lobito, </w:t>
      </w:r>
      <w:r w:rsidR="00FD3053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FD3053">
        <w:rPr>
          <w:rFonts w:ascii="Arial" w:hAnsi="Arial" w:cs="Arial"/>
          <w:sz w:val="18"/>
          <w:szCs w:val="18"/>
        </w:rPr>
        <w:t>Maio</w:t>
      </w:r>
      <w:r>
        <w:rPr>
          <w:rFonts w:ascii="Arial" w:hAnsi="Arial" w:cs="Arial"/>
          <w:sz w:val="18"/>
          <w:szCs w:val="18"/>
        </w:rPr>
        <w:t xml:space="preserve"> de 201</w:t>
      </w:r>
      <w:r w:rsidR="00FD3053">
        <w:rPr>
          <w:rFonts w:ascii="Arial" w:hAnsi="Arial" w:cs="Arial"/>
          <w:sz w:val="18"/>
          <w:szCs w:val="18"/>
        </w:rPr>
        <w:t>6</w:t>
      </w:r>
    </w:p>
    <w:sectPr w:rsidR="00170151" w:rsidRPr="00AB27BB" w:rsidSect="00E86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3061"/>
    <w:multiLevelType w:val="hybridMultilevel"/>
    <w:tmpl w:val="0114D3C8"/>
    <w:lvl w:ilvl="0" w:tplc="A5146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1C2F41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EastAsia" w:hAnsiTheme="minorHAnsi" w:cs="Arial"/>
        <w:b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69BA"/>
    <w:rsid w:val="00096BBC"/>
    <w:rsid w:val="000E7757"/>
    <w:rsid w:val="00131838"/>
    <w:rsid w:val="00170151"/>
    <w:rsid w:val="003A61E1"/>
    <w:rsid w:val="003D57B8"/>
    <w:rsid w:val="00652A52"/>
    <w:rsid w:val="006C6834"/>
    <w:rsid w:val="0087738B"/>
    <w:rsid w:val="009007A4"/>
    <w:rsid w:val="00976791"/>
    <w:rsid w:val="00A627EB"/>
    <w:rsid w:val="00AB27BB"/>
    <w:rsid w:val="00B32891"/>
    <w:rsid w:val="00B64FCB"/>
    <w:rsid w:val="00D52EBA"/>
    <w:rsid w:val="00D669BA"/>
    <w:rsid w:val="00E31BB1"/>
    <w:rsid w:val="00E86E78"/>
    <w:rsid w:val="00F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69BA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69B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7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6C6834"/>
    <w:pPr>
      <w:autoSpaceDE w:val="0"/>
      <w:autoSpaceDN w:val="0"/>
      <w:adjustRightInd w:val="0"/>
      <w:spacing w:after="0" w:line="240" w:lineRule="auto"/>
      <w:jc w:val="both"/>
    </w:pPr>
    <w:rPr>
      <w:rFonts w:ascii="Dutch801BT-Roman" w:eastAsia="Times New Roman" w:hAnsi="Dutch801BT-Roman" w:cs="Times New Roman"/>
      <w:sz w:val="26"/>
      <w:szCs w:val="16"/>
    </w:rPr>
  </w:style>
  <w:style w:type="character" w:customStyle="1" w:styleId="CorpodetextoCarcter">
    <w:name w:val="Corpo de texto Carácter"/>
    <w:basedOn w:val="Tipodeletrapredefinidodopargrafo"/>
    <w:link w:val="Corpodetexto"/>
    <w:rsid w:val="006C6834"/>
    <w:rPr>
      <w:rFonts w:ascii="Dutch801BT-Roman" w:eastAsia="Times New Roman" w:hAnsi="Dutch801BT-Roman" w:cs="Times New Roman"/>
      <w:sz w:val="2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85E-7A34-46A2-B23F-DA40CE2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Pintalhão</dc:creator>
  <cp:lastModifiedBy>Filipa Pintalhão</cp:lastModifiedBy>
  <cp:revision>6</cp:revision>
  <cp:lastPrinted>2016-02-08T10:32:00Z</cp:lastPrinted>
  <dcterms:created xsi:type="dcterms:W3CDTF">2016-02-08T10:32:00Z</dcterms:created>
  <dcterms:modified xsi:type="dcterms:W3CDTF">2016-06-03T13:39:00Z</dcterms:modified>
</cp:coreProperties>
</file>